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52" w:rsidRPr="00196530" w:rsidRDefault="00D36A52" w:rsidP="00D36A52">
      <w:pPr>
        <w:bidi/>
        <w:spacing w:line="240" w:lineRule="auto"/>
        <w:contextualSpacing/>
        <w:jc w:val="center"/>
        <w:rPr>
          <w:rFonts w:ascii="Simplified Arabic" w:hAnsi="Simplified Arabic" w:cs="Simplified Arabic"/>
          <w:b/>
          <w:bCs/>
          <w:sz w:val="24"/>
          <w:szCs w:val="24"/>
          <w:lang w:bidi="ar-AE"/>
        </w:rPr>
      </w:pPr>
      <w:r w:rsidRPr="00196530">
        <w:rPr>
          <w:rFonts w:ascii="Simplified Arabic" w:hAnsi="Simplified Arabic" w:cs="Simplified Arabic"/>
          <w:b/>
          <w:bCs/>
          <w:sz w:val="24"/>
          <w:szCs w:val="24"/>
          <w:rtl/>
          <w:lang w:bidi="ar-JO"/>
        </w:rPr>
        <w:t>القدرة التّنبّؤيّة لفاعليّة الذّات الانفعاليّة في العافية النّفسيّة الشّخصيّة: دراسة طلبة مرحلتي البكالوريوس والماجستير في جامعة الفلاح</w:t>
      </w:r>
    </w:p>
    <w:tbl>
      <w:tblPr>
        <w:bidiVisual/>
        <w:tblW w:w="0" w:type="auto"/>
        <w:tblLook w:val="04A0" w:firstRow="1" w:lastRow="0" w:firstColumn="1" w:lastColumn="0" w:noHBand="0" w:noVBand="1"/>
      </w:tblPr>
      <w:tblGrid>
        <w:gridCol w:w="8928"/>
      </w:tblGrid>
      <w:tr w:rsidR="00D36A52" w:rsidRPr="001E239A" w:rsidTr="000A1F52">
        <w:tc>
          <w:tcPr>
            <w:tcW w:w="8928" w:type="dxa"/>
          </w:tcPr>
          <w:p w:rsidR="00D36A52" w:rsidRPr="001E239A" w:rsidRDefault="00D36A52" w:rsidP="000A1F52">
            <w:pPr>
              <w:bidi/>
              <w:spacing w:line="240" w:lineRule="auto"/>
              <w:contextualSpacing/>
              <w:jc w:val="center"/>
              <w:rPr>
                <w:rFonts w:ascii="Simplified Arabic" w:eastAsia="Times New Roman" w:hAnsi="Simplified Arabic" w:cs="Simplified Arabic"/>
                <w:color w:val="000000"/>
                <w:sz w:val="24"/>
                <w:szCs w:val="24"/>
                <w:lang w:val="en-GB" w:eastAsia="en-GB" w:bidi="ar-JO"/>
              </w:rPr>
            </w:pPr>
          </w:p>
        </w:tc>
      </w:tr>
      <w:tr w:rsidR="00D36A52" w:rsidRPr="001E239A" w:rsidTr="000A1F52">
        <w:tc>
          <w:tcPr>
            <w:tcW w:w="8928" w:type="dxa"/>
          </w:tcPr>
          <w:p w:rsidR="00D36A52" w:rsidRPr="001E239A" w:rsidRDefault="00D36A52" w:rsidP="000A1F52">
            <w:pPr>
              <w:bidi/>
              <w:spacing w:line="240" w:lineRule="auto"/>
              <w:contextualSpacing/>
              <w:jc w:val="center"/>
              <w:rPr>
                <w:rFonts w:ascii="Simplified Arabic" w:eastAsia="Times New Roman" w:hAnsi="Simplified Arabic" w:cs="Simplified Arabic"/>
                <w:color w:val="000000"/>
                <w:sz w:val="24"/>
                <w:szCs w:val="24"/>
                <w:lang w:val="en-GB" w:eastAsia="en-GB" w:bidi="ar-JO"/>
              </w:rPr>
            </w:pPr>
          </w:p>
        </w:tc>
      </w:tr>
    </w:tbl>
    <w:p w:rsidR="00D36A52" w:rsidRPr="001E239A" w:rsidRDefault="00D36A52" w:rsidP="00D36A52">
      <w:pPr>
        <w:bidi/>
        <w:spacing w:line="240" w:lineRule="auto"/>
        <w:contextualSpacing/>
        <w:jc w:val="both"/>
        <w:rPr>
          <w:rFonts w:ascii="Simplified Arabic" w:eastAsia="Times New Roman" w:hAnsi="Simplified Arabic" w:cs="Simplified Arabic"/>
          <w:sz w:val="24"/>
          <w:szCs w:val="24"/>
          <w:rtl/>
          <w:lang w:val="en-GB" w:eastAsia="en-GB" w:bidi="ar-JO"/>
        </w:rPr>
      </w:pPr>
    </w:p>
    <w:p w:rsidR="00D36A52" w:rsidRPr="001E239A" w:rsidRDefault="00D36A52" w:rsidP="00D36A52">
      <w:pPr>
        <w:bidi/>
        <w:spacing w:line="240" w:lineRule="auto"/>
        <w:contextualSpacing/>
        <w:jc w:val="center"/>
        <w:rPr>
          <w:rFonts w:ascii="Simplified Arabic" w:hAnsi="Simplified Arabic" w:cs="Simplified Arabic"/>
          <w:sz w:val="24"/>
          <w:szCs w:val="24"/>
          <w:rtl/>
          <w:lang w:bidi="ar-JO"/>
        </w:rPr>
      </w:pPr>
      <w:r w:rsidRPr="001E239A">
        <w:rPr>
          <w:rFonts w:ascii="Simplified Arabic" w:hAnsi="Simplified Arabic" w:cs="Simplified Arabic"/>
          <w:sz w:val="24"/>
          <w:szCs w:val="24"/>
          <w:rtl/>
          <w:lang w:bidi="ar-JO"/>
        </w:rPr>
        <w:t>الْمُلَخَّص</w:t>
      </w:r>
    </w:p>
    <w:p w:rsidR="00D36A52" w:rsidRDefault="00D36A52" w:rsidP="00D36A52">
      <w:pPr>
        <w:bidi/>
        <w:spacing w:line="240" w:lineRule="auto"/>
        <w:ind w:firstLine="720"/>
        <w:contextualSpacing/>
        <w:jc w:val="both"/>
        <w:rPr>
          <w:rFonts w:ascii="Simplified Arabic" w:hAnsi="Simplified Arabic" w:cs="Simplified Arabic"/>
          <w:color w:val="000000"/>
          <w:rtl/>
          <w:lang w:bidi="ar-AE"/>
        </w:rPr>
      </w:pPr>
      <w:r w:rsidRPr="00196530">
        <w:rPr>
          <w:rFonts w:ascii="Simplified Arabic" w:hAnsi="Simplified Arabic" w:cs="Simplified Arabic"/>
          <w:rtl/>
          <w:lang w:bidi="ar-JO"/>
        </w:rPr>
        <w:t>تهدفُ الدّراسة الحاليّة إلى التَّعرُّف بمقدرة فاعليّة الذّات الانفعاليّة على التَّنبُّؤ بالعافية النّفسيّة الشّخصيّة لدى عيّنة من طلبة جامعة الفلاح في دبي، ولتحقيق ذلك؛ قام الباحث بتطبيقِ مقياس فاعليّة الذّات الانفعاليّة والّذي يشتمل على أربعة مجالات</w:t>
      </w:r>
      <w:r w:rsidRPr="00196530">
        <w:rPr>
          <w:rFonts w:ascii="Simplified Arabic" w:hAnsi="Simplified Arabic" w:cs="Simplified Arabic"/>
          <w:lang w:bidi="ar-JO"/>
        </w:rPr>
        <w:t>:</w:t>
      </w:r>
      <w:r w:rsidRPr="00196530">
        <w:rPr>
          <w:rFonts w:ascii="Simplified Arabic" w:hAnsi="Simplified Arabic" w:cs="Simplified Arabic"/>
          <w:rtl/>
          <w:lang w:bidi="ar-JO"/>
        </w:rPr>
        <w:t xml:space="preserve"> (استخدام وإدارة الانفعالات الذّاتيّة، وتحديد وفهم الانفعالات الذّاتيّة، والتّعامل مع الانفعالات لدى الآخرين، وإدراك الانفعال عن طريق تعابير الوجه ولغة الجسد)، ومقياس العافية النّفسيّة الشّخصيّة والّذي يشتمل على خمسة مجالات</w:t>
      </w:r>
      <w:r w:rsidRPr="00196530">
        <w:rPr>
          <w:rFonts w:ascii="Simplified Arabic" w:hAnsi="Simplified Arabic" w:cs="Simplified Arabic"/>
          <w:lang w:bidi="ar-JO"/>
        </w:rPr>
        <w:t xml:space="preserve"> :</w:t>
      </w:r>
      <w:r w:rsidRPr="00196530">
        <w:rPr>
          <w:rFonts w:ascii="Simplified Arabic" w:hAnsi="Simplified Arabic" w:cs="Simplified Arabic"/>
          <w:rtl/>
          <w:lang w:bidi="ar-JO"/>
        </w:rPr>
        <w:t xml:space="preserve">(العافية النّفسيّة الماليّة، والعافية النّفسيّة الصّحّيّة (البدنيّة)، والعافية النّفسيّة الاجتماعيّة، والعافية النّفسيّة من ناحية الأهداف، والعافية النّفسيّة من ناحية الاستمتاع) على (233) طالباً وطالبة من مرحلة البكالوريوس، و(32) طالباً وطالبة من مرحلة الماجستير </w:t>
      </w:r>
      <w:r w:rsidRPr="00DF439A">
        <w:rPr>
          <w:rFonts w:asciiTheme="majorBidi" w:hAnsiTheme="majorBidi" w:cstheme="majorBidi"/>
          <w:rtl/>
          <w:lang w:bidi="ar-JO"/>
        </w:rPr>
        <w:t>(</w:t>
      </w:r>
      <w:r w:rsidRPr="00DF439A">
        <w:rPr>
          <w:rFonts w:asciiTheme="majorBidi" w:hAnsiTheme="majorBidi" w:cstheme="majorBidi"/>
          <w:lang w:bidi="ar-JO"/>
        </w:rPr>
        <w:t>MBA</w:t>
      </w:r>
      <w:r w:rsidRPr="00DF439A">
        <w:rPr>
          <w:rFonts w:asciiTheme="majorBidi" w:hAnsiTheme="majorBidi" w:cstheme="majorBidi"/>
          <w:rtl/>
          <w:lang w:bidi="ar-AE"/>
        </w:rPr>
        <w:t>)</w:t>
      </w:r>
      <w:r w:rsidRPr="00196530">
        <w:rPr>
          <w:rFonts w:ascii="Simplified Arabic" w:hAnsi="Simplified Arabic" w:cs="Simplified Arabic"/>
          <w:rtl/>
          <w:lang w:bidi="ar-JO"/>
        </w:rPr>
        <w:t xml:space="preserve"> في جامعة الفلاح. واستخرج الباحث المتوسّطات الحسابيّة والانحرافات المعياريّة لاستجابات عيّنة الدّراسة على مقياسيْ: (فاعليّة الذّات الانفعاليّة، والعافية النّفسيّة الشّخصيّة)، وتحليل الانحدار المتعدّد المُتدرِّج </w:t>
      </w:r>
      <w:r w:rsidRPr="00196530">
        <w:rPr>
          <w:rFonts w:asciiTheme="majorBidi" w:hAnsiTheme="majorBidi" w:cstheme="majorBidi"/>
          <w:lang w:bidi="ar-JO"/>
        </w:rPr>
        <w:t>Stepwise Multiple Regression</w:t>
      </w:r>
      <w:r w:rsidRPr="00196530">
        <w:rPr>
          <w:rFonts w:ascii="Simplified Arabic" w:hAnsi="Simplified Arabic" w:cs="Simplified Arabic"/>
          <w:rtl/>
          <w:lang w:bidi="ar-JO"/>
        </w:rPr>
        <w:t xml:space="preserve">؛ لقياس القدرة التّنبُّؤيّة لفاعليّة الذّات الانفعاليّة في العافية النّفسيّة الشّخصيّة، كما استخدم الباحث اختبار (ت) لعيّنتين مستقلّتين </w:t>
      </w:r>
      <w:r w:rsidRPr="001F3E3E">
        <w:rPr>
          <w:rFonts w:asciiTheme="majorBidi" w:hAnsiTheme="majorBidi" w:cstheme="majorBidi"/>
          <w:lang w:bidi="ar-JO"/>
        </w:rPr>
        <w:t>Independent Sample T-test</w:t>
      </w:r>
      <w:r w:rsidRPr="00196530">
        <w:rPr>
          <w:rFonts w:ascii="Simplified Arabic" w:hAnsi="Simplified Arabic" w:cs="Simplified Arabic"/>
          <w:rtl/>
          <w:lang w:bidi="ar-JO"/>
        </w:rPr>
        <w:t xml:space="preserve">؛ للتَّعرُّف إلى الفروق بين الذّكور والإناث في فاعليّة الذّات الانفعاليّة والعافية النّفسيّة الشّخصيّة. حيث أظهرت النّتائج أنَّ </w:t>
      </w:r>
      <w:r w:rsidRPr="00196530">
        <w:rPr>
          <w:rFonts w:ascii="Simplified Arabic" w:hAnsi="Simplified Arabic" w:cs="Simplified Arabic"/>
          <w:color w:val="000000"/>
          <w:rtl/>
          <w:lang w:bidi="ar-JO"/>
        </w:rPr>
        <w:t>عيّنة الدّراسة تمتلك مستوىً مرتفعاً</w:t>
      </w:r>
      <w:r w:rsidRPr="00196530">
        <w:rPr>
          <w:rFonts w:ascii="Simplified Arabic" w:hAnsi="Simplified Arabic" w:cs="Simplified Arabic"/>
          <w:rtl/>
          <w:lang w:bidi="ar-JO"/>
        </w:rPr>
        <w:t xml:space="preserve"> من فاعليّة الذّات الانفعاليّة والعافية النّفسيّة الشّخصيّة. كما أشارت نتائج الدّراسة إلى </w:t>
      </w:r>
      <w:r w:rsidRPr="00196530">
        <w:rPr>
          <w:rFonts w:ascii="Simplified Arabic" w:hAnsi="Simplified Arabic" w:cs="Simplified Arabic"/>
          <w:color w:val="000000"/>
          <w:rtl/>
        </w:rPr>
        <w:t>أنّ زيادة مجاليْ: (استخدام وإدارة الانفعالات الذّاتيّة، وتحديد وفهم الانفعالات الذّاتيّة) من فاعليّة الذّات الانفعاليّة يزيد من العافية النّفسيّة الشّخصيّة</w:t>
      </w:r>
      <w:r w:rsidRPr="00196530">
        <w:rPr>
          <w:rFonts w:ascii="Simplified Arabic" w:hAnsi="Simplified Arabic" w:cs="Simplified Arabic"/>
          <w:rtl/>
          <w:lang w:bidi="ar-JO"/>
        </w:rPr>
        <w:t xml:space="preserve">. وتوصَّلت الدّراسة أيضاً إلى عدم وجود فروق ذات دلالة إحصائيّة عند مستوى الدّلالة </w:t>
      </w:r>
      <w:r w:rsidRPr="007C5822">
        <w:rPr>
          <w:rFonts w:asciiTheme="majorBidi" w:hAnsiTheme="majorBidi" w:cstheme="majorBidi"/>
          <w:rtl/>
          <w:lang w:bidi="ar-JO"/>
        </w:rPr>
        <w:t>(</w:t>
      </w:r>
      <w:r w:rsidRPr="007C5822">
        <w:rPr>
          <w:rFonts w:asciiTheme="majorBidi" w:hAnsiTheme="majorBidi" w:cstheme="majorBidi"/>
          <w:lang w:bidi="ar-JO"/>
        </w:rPr>
        <w:t>α</w:t>
      </w:r>
      <w:r w:rsidRPr="007C5822">
        <w:rPr>
          <w:rFonts w:asciiTheme="majorBidi" w:hAnsiTheme="majorBidi" w:cstheme="majorBidi"/>
          <w:rtl/>
          <w:lang w:bidi="ar-JO"/>
        </w:rPr>
        <w:t xml:space="preserve"> ≤ 0.05)</w:t>
      </w:r>
      <w:r w:rsidRPr="00196530">
        <w:rPr>
          <w:rFonts w:ascii="Simplified Arabic" w:hAnsi="Simplified Arabic" w:cs="Simplified Arabic"/>
          <w:rtl/>
          <w:lang w:bidi="ar-JO"/>
        </w:rPr>
        <w:t xml:space="preserve"> </w:t>
      </w:r>
      <w:r w:rsidRPr="00196530">
        <w:rPr>
          <w:rFonts w:ascii="Simplified Arabic" w:hAnsi="Simplified Arabic" w:cs="Simplified Arabic" w:hint="cs"/>
          <w:rtl/>
          <w:lang w:bidi="ar-JO"/>
        </w:rPr>
        <w:t>بين</w:t>
      </w:r>
      <w:r w:rsidRPr="00196530">
        <w:rPr>
          <w:rFonts w:ascii="Simplified Arabic" w:hAnsi="Simplified Arabic" w:cs="Simplified Arabic"/>
          <w:rtl/>
          <w:lang w:bidi="ar-JO"/>
        </w:rPr>
        <w:t xml:space="preserve"> الذّكور والإناث في فاعليّة الذّات الانفعاليّة والعافية النّفسيّة الشّخصيّة. كما أظهرت النّتائج </w:t>
      </w:r>
      <w:r w:rsidRPr="00196530">
        <w:rPr>
          <w:rFonts w:ascii="Simplified Arabic" w:hAnsi="Simplified Arabic" w:cs="Simplified Arabic"/>
          <w:color w:val="000000"/>
          <w:rtl/>
        </w:rPr>
        <w:t>وجود فروق دالّة بين الطّلبة من تخصّصات مختلفة</w:t>
      </w:r>
      <w:r w:rsidRPr="00196530">
        <w:rPr>
          <w:rFonts w:ascii="Simplified Arabic" w:hAnsi="Simplified Arabic" w:cs="Simplified Arabic"/>
          <w:color w:val="000000"/>
        </w:rPr>
        <w:t>:</w:t>
      </w:r>
      <w:r w:rsidRPr="00196530">
        <w:rPr>
          <w:rFonts w:ascii="Simplified Arabic" w:hAnsi="Simplified Arabic" w:cs="Simplified Arabic"/>
          <w:color w:val="000000"/>
          <w:rtl/>
        </w:rPr>
        <w:t xml:space="preserve"> (إدارة الأعمال، والاتّصال الجماهيريّ، والقانون، والماجستير</w:t>
      </w:r>
      <w:r w:rsidRPr="008B04B2">
        <w:rPr>
          <w:rFonts w:asciiTheme="majorBidi" w:hAnsiTheme="majorBidi" w:cstheme="majorBidi"/>
          <w:rtl/>
          <w:lang w:bidi="ar-JO"/>
        </w:rPr>
        <w:t xml:space="preserve"> (</w:t>
      </w:r>
      <w:r w:rsidRPr="008B04B2">
        <w:rPr>
          <w:rFonts w:asciiTheme="majorBidi" w:hAnsiTheme="majorBidi" w:cstheme="majorBidi"/>
          <w:lang w:bidi="ar-JO"/>
        </w:rPr>
        <w:t>MBA</w:t>
      </w:r>
      <w:r w:rsidRPr="008B04B2">
        <w:rPr>
          <w:rFonts w:asciiTheme="majorBidi" w:hAnsiTheme="majorBidi" w:cstheme="majorBidi"/>
          <w:rtl/>
          <w:lang w:bidi="ar-AE"/>
        </w:rPr>
        <w:t>)</w:t>
      </w:r>
      <w:r w:rsidRPr="00196530">
        <w:rPr>
          <w:rFonts w:ascii="Simplified Arabic" w:hAnsi="Simplified Arabic" w:cs="Simplified Arabic"/>
          <w:color w:val="000000"/>
          <w:rtl/>
        </w:rPr>
        <w:t>) في بعض مجالات مقياس فاعليّة الذّات الانفعاليّة لصالح الطّلبة من: (إدارة الأعمال، والماجستير</w:t>
      </w:r>
      <w:r w:rsidRPr="00196530">
        <w:rPr>
          <w:rFonts w:ascii="Simplified Arabic" w:hAnsi="Simplified Arabic" w:cs="Simplified Arabic"/>
          <w:rtl/>
          <w:lang w:bidi="ar-JO"/>
        </w:rPr>
        <w:t xml:space="preserve"> </w:t>
      </w:r>
      <w:r w:rsidRPr="008B04B2">
        <w:rPr>
          <w:rFonts w:asciiTheme="majorBidi" w:hAnsiTheme="majorBidi" w:cstheme="majorBidi"/>
          <w:rtl/>
          <w:lang w:bidi="ar-JO"/>
        </w:rPr>
        <w:t>(</w:t>
      </w:r>
      <w:r w:rsidRPr="008B04B2">
        <w:rPr>
          <w:rFonts w:asciiTheme="majorBidi" w:hAnsiTheme="majorBidi" w:cstheme="majorBidi"/>
          <w:lang w:bidi="ar-JO"/>
        </w:rPr>
        <w:t>MBA</w:t>
      </w:r>
      <w:r w:rsidRPr="008B04B2">
        <w:rPr>
          <w:rFonts w:asciiTheme="majorBidi" w:hAnsiTheme="majorBidi" w:cstheme="majorBidi"/>
          <w:rtl/>
          <w:lang w:bidi="ar-AE"/>
        </w:rPr>
        <w:t>)</w:t>
      </w:r>
      <w:r w:rsidRPr="00196530">
        <w:rPr>
          <w:rFonts w:ascii="Simplified Arabic" w:hAnsi="Simplified Arabic" w:cs="Simplified Arabic"/>
          <w:color w:val="000000"/>
          <w:rtl/>
        </w:rPr>
        <w:t xml:space="preserve">)، إضافة إلى وجود فروق دالّة بين الطّلبة من المستويات الدّراسيّة المختلفة على بعض </w:t>
      </w:r>
      <w:r w:rsidRPr="00196530">
        <w:rPr>
          <w:rFonts w:ascii="Simplified Arabic" w:hAnsi="Simplified Arabic" w:cs="Simplified Arabic"/>
          <w:rtl/>
          <w:lang w:bidi="ar-JO"/>
        </w:rPr>
        <w:t xml:space="preserve">مجالات </w:t>
      </w:r>
      <w:r w:rsidRPr="00196530">
        <w:rPr>
          <w:rFonts w:ascii="Simplified Arabic" w:hAnsi="Simplified Arabic" w:cs="Simplified Arabic"/>
          <w:color w:val="000000"/>
          <w:rtl/>
        </w:rPr>
        <w:t>المقياس، وذلك لصالح الطّلبة من برنامج الماجستير</w:t>
      </w:r>
      <w:r w:rsidRPr="00196530">
        <w:rPr>
          <w:rFonts w:ascii="Simplified Arabic" w:hAnsi="Simplified Arabic" w:cs="Simplified Arabic"/>
          <w:rtl/>
          <w:lang w:bidi="ar-JO"/>
        </w:rPr>
        <w:t xml:space="preserve"> </w:t>
      </w:r>
      <w:r w:rsidRPr="005E37F8">
        <w:rPr>
          <w:rFonts w:asciiTheme="majorBidi" w:hAnsiTheme="majorBidi" w:cstheme="majorBidi"/>
          <w:rtl/>
          <w:lang w:bidi="ar-JO"/>
        </w:rPr>
        <w:t>(</w:t>
      </w:r>
      <w:r w:rsidRPr="005E37F8">
        <w:rPr>
          <w:rFonts w:asciiTheme="majorBidi" w:hAnsiTheme="majorBidi" w:cstheme="majorBidi"/>
          <w:lang w:bidi="ar-JO"/>
        </w:rPr>
        <w:t>MBA</w:t>
      </w:r>
      <w:r w:rsidRPr="005E37F8">
        <w:rPr>
          <w:rFonts w:asciiTheme="majorBidi" w:hAnsiTheme="majorBidi" w:cstheme="majorBidi"/>
          <w:rtl/>
          <w:lang w:bidi="ar-AE"/>
        </w:rPr>
        <w:t>)</w:t>
      </w:r>
      <w:r w:rsidRPr="00196530">
        <w:rPr>
          <w:rFonts w:ascii="Simplified Arabic" w:hAnsi="Simplified Arabic" w:cs="Simplified Arabic"/>
          <w:color w:val="000000"/>
          <w:rtl/>
        </w:rPr>
        <w:t>، والسّنة الثّالثة.</w:t>
      </w:r>
      <w:r w:rsidRPr="00196530">
        <w:rPr>
          <w:rFonts w:ascii="Simplified Arabic" w:hAnsi="Simplified Arabic" w:cs="Simplified Arabic"/>
          <w:rtl/>
          <w:lang w:bidi="ar-JO"/>
        </w:rPr>
        <w:t xml:space="preserve"> أمّا فيما يتعلّق بمقياس العافية النّفسيّة الشّخصيّة فقد بيّنت النّتائج </w:t>
      </w:r>
      <w:r w:rsidRPr="00196530">
        <w:rPr>
          <w:rFonts w:ascii="Simplified Arabic" w:hAnsi="Simplified Arabic" w:cs="Simplified Arabic"/>
          <w:color w:val="000000"/>
          <w:rtl/>
        </w:rPr>
        <w:t>وجود فروق دالّة بين الطّلبة من تخصّصات</w:t>
      </w:r>
      <w:r w:rsidRPr="00196530">
        <w:rPr>
          <w:rFonts w:ascii="Simplified Arabic" w:hAnsi="Simplified Arabic" w:cs="Simplified Arabic"/>
          <w:color w:val="000000"/>
        </w:rPr>
        <w:t>:</w:t>
      </w:r>
      <w:r w:rsidRPr="00196530">
        <w:rPr>
          <w:rFonts w:ascii="Simplified Arabic" w:hAnsi="Simplified Arabic" w:cs="Simplified Arabic"/>
          <w:color w:val="000000"/>
          <w:rtl/>
        </w:rPr>
        <w:t xml:space="preserve"> (إدارة الأعمال، والاتّصال الجماهيريّ، والقانون، والماجستير</w:t>
      </w:r>
      <w:r w:rsidRPr="00196530">
        <w:rPr>
          <w:rFonts w:ascii="Simplified Arabic" w:hAnsi="Simplified Arabic" w:cs="Simplified Arabic"/>
          <w:rtl/>
          <w:lang w:bidi="ar-JO"/>
        </w:rPr>
        <w:t xml:space="preserve"> </w:t>
      </w:r>
      <w:r w:rsidRPr="0084632C">
        <w:rPr>
          <w:rFonts w:asciiTheme="majorBidi" w:hAnsiTheme="majorBidi" w:cstheme="majorBidi"/>
          <w:rtl/>
          <w:lang w:bidi="ar-JO"/>
        </w:rPr>
        <w:t>(</w:t>
      </w:r>
      <w:r w:rsidRPr="0084632C">
        <w:rPr>
          <w:rFonts w:asciiTheme="majorBidi" w:hAnsiTheme="majorBidi" w:cstheme="majorBidi"/>
          <w:lang w:bidi="ar-JO"/>
        </w:rPr>
        <w:t>MBA</w:t>
      </w:r>
      <w:r w:rsidRPr="0084632C">
        <w:rPr>
          <w:rFonts w:asciiTheme="majorBidi" w:hAnsiTheme="majorBidi" w:cstheme="majorBidi"/>
          <w:rtl/>
          <w:lang w:bidi="ar-AE"/>
        </w:rPr>
        <w:t>)</w:t>
      </w:r>
      <w:r w:rsidRPr="00196530">
        <w:rPr>
          <w:rFonts w:ascii="Simplified Arabic" w:hAnsi="Simplified Arabic" w:cs="Simplified Arabic"/>
          <w:color w:val="000000"/>
          <w:rtl/>
        </w:rPr>
        <w:t>) على مجالات المقياس: (العافية النّفسيّة الماليّة، والعافية النّفسيّة الصّحّيّة (البدنيّة)، والدّرجة الكلّيّة) لصالح الطّلبة من برنامج الماجستير</w:t>
      </w:r>
      <w:r w:rsidRPr="00196530">
        <w:rPr>
          <w:rFonts w:ascii="Simplified Arabic" w:hAnsi="Simplified Arabic" w:cs="Simplified Arabic"/>
          <w:rtl/>
          <w:lang w:bidi="ar-JO"/>
        </w:rPr>
        <w:t xml:space="preserve"> </w:t>
      </w:r>
      <w:r w:rsidRPr="0084632C">
        <w:rPr>
          <w:rFonts w:asciiTheme="majorBidi" w:hAnsiTheme="majorBidi" w:cstheme="majorBidi"/>
          <w:rtl/>
          <w:lang w:bidi="ar-JO"/>
        </w:rPr>
        <w:t>(</w:t>
      </w:r>
      <w:r w:rsidRPr="0084632C">
        <w:rPr>
          <w:rFonts w:asciiTheme="majorBidi" w:hAnsiTheme="majorBidi" w:cstheme="majorBidi"/>
          <w:lang w:bidi="ar-JO"/>
        </w:rPr>
        <w:t>MBA</w:t>
      </w:r>
      <w:r w:rsidRPr="0084632C">
        <w:rPr>
          <w:rFonts w:asciiTheme="majorBidi" w:hAnsiTheme="majorBidi" w:cstheme="majorBidi"/>
          <w:rtl/>
          <w:lang w:bidi="ar-AE"/>
        </w:rPr>
        <w:t>)</w:t>
      </w:r>
      <w:r w:rsidRPr="00196530">
        <w:rPr>
          <w:rFonts w:ascii="Simplified Arabic" w:hAnsi="Simplified Arabic" w:cs="Simplified Arabic"/>
          <w:color w:val="000000"/>
          <w:rtl/>
        </w:rPr>
        <w:t xml:space="preserve">، ووجود فروق دالّة بين الطّلبة من المستويات الدّراسيّة المختلفة على بعض </w:t>
      </w:r>
      <w:r w:rsidRPr="00196530">
        <w:rPr>
          <w:rFonts w:ascii="Simplified Arabic" w:hAnsi="Simplified Arabic" w:cs="Simplified Arabic"/>
          <w:rtl/>
          <w:lang w:bidi="ar-JO"/>
        </w:rPr>
        <w:t xml:space="preserve">مجالات </w:t>
      </w:r>
      <w:r w:rsidRPr="00196530">
        <w:rPr>
          <w:rFonts w:ascii="Simplified Arabic" w:hAnsi="Simplified Arabic" w:cs="Simplified Arabic"/>
          <w:color w:val="000000"/>
          <w:rtl/>
        </w:rPr>
        <w:t>المقياس، وذلك لصالح الطّلبة من السّنة الأولى، والسّنة الثّا</w:t>
      </w:r>
      <w:r>
        <w:rPr>
          <w:rFonts w:ascii="Simplified Arabic" w:hAnsi="Simplified Arabic" w:cs="Simplified Arabic" w:hint="cs"/>
          <w:color w:val="000000"/>
          <w:rtl/>
        </w:rPr>
        <w:t>نية</w:t>
      </w:r>
      <w:r w:rsidRPr="00196530">
        <w:rPr>
          <w:rFonts w:ascii="Simplified Arabic" w:hAnsi="Simplified Arabic" w:cs="Simplified Arabic"/>
          <w:color w:val="000000"/>
          <w:rtl/>
        </w:rPr>
        <w:t>، والسّنة الرّابعة، والماجستير</w:t>
      </w:r>
      <w:r w:rsidRPr="00196530">
        <w:rPr>
          <w:rFonts w:ascii="Simplified Arabic" w:hAnsi="Simplified Arabic" w:cs="Simplified Arabic"/>
          <w:rtl/>
          <w:lang w:bidi="ar-JO"/>
        </w:rPr>
        <w:t xml:space="preserve"> (</w:t>
      </w:r>
      <w:r w:rsidRPr="00196530">
        <w:rPr>
          <w:rFonts w:ascii="Simplified Arabic" w:hAnsi="Simplified Arabic" w:cs="Simplified Arabic"/>
          <w:lang w:bidi="ar-JO"/>
        </w:rPr>
        <w:t>MBA</w:t>
      </w:r>
      <w:r w:rsidRPr="00196530">
        <w:rPr>
          <w:rFonts w:ascii="Simplified Arabic" w:hAnsi="Simplified Arabic" w:cs="Simplified Arabic"/>
          <w:rtl/>
          <w:lang w:bidi="ar-AE"/>
        </w:rPr>
        <w:t>)</w:t>
      </w:r>
      <w:r w:rsidRPr="00196530">
        <w:rPr>
          <w:rFonts w:ascii="Simplified Arabic" w:hAnsi="Simplified Arabic" w:cs="Simplified Arabic"/>
          <w:color w:val="000000"/>
          <w:rtl/>
        </w:rPr>
        <w:t>.</w:t>
      </w:r>
    </w:p>
    <w:p w:rsidR="00D36A52" w:rsidRPr="00196530" w:rsidRDefault="00D36A52" w:rsidP="00D36A52">
      <w:pPr>
        <w:bidi/>
        <w:spacing w:line="240" w:lineRule="auto"/>
        <w:ind w:firstLine="720"/>
        <w:contextualSpacing/>
        <w:jc w:val="both"/>
        <w:rPr>
          <w:rFonts w:ascii="Simplified Arabic" w:hAnsi="Simplified Arabic" w:cs="Simplified Arabic"/>
          <w:rtl/>
          <w:lang w:bidi="ar-AE"/>
        </w:rPr>
      </w:pPr>
    </w:p>
    <w:p w:rsidR="00D36A52" w:rsidRPr="00196530" w:rsidRDefault="00D36A52" w:rsidP="00D36A52">
      <w:pPr>
        <w:bidi/>
        <w:spacing w:line="240" w:lineRule="auto"/>
        <w:ind w:left="-426" w:firstLine="568"/>
        <w:contextualSpacing/>
        <w:jc w:val="both"/>
        <w:rPr>
          <w:rFonts w:ascii="Simplified Arabic" w:hAnsi="Simplified Arabic" w:cs="Simplified Arabic"/>
          <w:color w:val="000000"/>
          <w:rtl/>
          <w:lang w:bidi="ar-AE"/>
        </w:rPr>
      </w:pPr>
      <w:r w:rsidRPr="0084632C">
        <w:rPr>
          <w:rFonts w:ascii="Simplified Arabic" w:hAnsi="Simplified Arabic" w:cs="Simplified Arabic"/>
          <w:b/>
          <w:bCs/>
          <w:color w:val="000000"/>
          <w:rtl/>
          <w:lang w:bidi="ar-BH"/>
        </w:rPr>
        <w:t>الكلمات المفتاحيّة</w:t>
      </w:r>
      <w:r w:rsidRPr="00196530">
        <w:rPr>
          <w:rFonts w:ascii="Simplified Arabic" w:hAnsi="Simplified Arabic" w:cs="Simplified Arabic"/>
          <w:color w:val="000000"/>
          <w:rtl/>
          <w:lang w:bidi="ar-BH"/>
        </w:rPr>
        <w:t>: فاعليّة الذّات الانفعاليّة، العافية النّفسيّة الشّخصيّة، طلبة مرحلة البكالوريوس، الذّكاء الانفعاليّ.</w:t>
      </w:r>
    </w:p>
    <w:p w:rsidR="00D36A52" w:rsidRPr="00196530" w:rsidRDefault="00D36A52" w:rsidP="00D36A52">
      <w:pPr>
        <w:bidi/>
        <w:spacing w:line="240" w:lineRule="auto"/>
        <w:ind w:left="-426" w:firstLine="568"/>
        <w:contextualSpacing/>
        <w:jc w:val="both"/>
        <w:rPr>
          <w:rFonts w:ascii="Simplified Arabic" w:hAnsi="Simplified Arabic" w:cs="Simplified Arabic"/>
          <w:color w:val="000000"/>
          <w:rtl/>
          <w:lang w:bidi="ar-AE"/>
        </w:rPr>
      </w:pPr>
    </w:p>
    <w:p w:rsidR="00D36A52" w:rsidRPr="001E239A" w:rsidRDefault="00D36A52" w:rsidP="00D36A52">
      <w:pPr>
        <w:bidi/>
        <w:spacing w:line="240" w:lineRule="auto"/>
        <w:ind w:left="-426" w:firstLine="568"/>
        <w:contextualSpacing/>
        <w:jc w:val="both"/>
        <w:rPr>
          <w:rFonts w:ascii="Simplified Arabic" w:hAnsi="Simplified Arabic" w:cs="Simplified Arabic"/>
          <w:color w:val="000000"/>
          <w:sz w:val="24"/>
          <w:szCs w:val="24"/>
          <w:rtl/>
          <w:lang w:bidi="ar-AE"/>
        </w:rPr>
      </w:pPr>
    </w:p>
    <w:p w:rsidR="00D36A52" w:rsidRPr="001E239A" w:rsidRDefault="00D36A52" w:rsidP="00D36A52">
      <w:pPr>
        <w:bidi/>
        <w:spacing w:line="240" w:lineRule="auto"/>
        <w:ind w:left="-426" w:firstLine="568"/>
        <w:contextualSpacing/>
        <w:jc w:val="both"/>
        <w:rPr>
          <w:rFonts w:ascii="Simplified Arabic" w:hAnsi="Simplified Arabic" w:cs="Simplified Arabic"/>
          <w:color w:val="000000"/>
          <w:sz w:val="24"/>
          <w:szCs w:val="24"/>
          <w:rtl/>
          <w:lang w:bidi="ar-AE"/>
        </w:rPr>
      </w:pPr>
    </w:p>
    <w:p w:rsidR="00D36A52" w:rsidRDefault="00D36A52" w:rsidP="00D36A52">
      <w:pPr>
        <w:bidi/>
        <w:spacing w:line="240" w:lineRule="auto"/>
        <w:ind w:left="-426" w:firstLine="568"/>
        <w:contextualSpacing/>
        <w:jc w:val="both"/>
        <w:rPr>
          <w:rFonts w:ascii="Simplified Arabic" w:hAnsi="Simplified Arabic" w:cs="Simplified Arabic"/>
          <w:color w:val="000000"/>
          <w:sz w:val="24"/>
          <w:szCs w:val="24"/>
          <w:rtl/>
          <w:lang w:bidi="ar-AE"/>
        </w:rPr>
      </w:pPr>
    </w:p>
    <w:p w:rsidR="00D36A52" w:rsidRDefault="00D36A52" w:rsidP="00D36A52">
      <w:pPr>
        <w:bidi/>
        <w:spacing w:line="240" w:lineRule="auto"/>
        <w:ind w:left="-426" w:firstLine="568"/>
        <w:contextualSpacing/>
        <w:jc w:val="both"/>
        <w:rPr>
          <w:rFonts w:ascii="Simplified Arabic" w:hAnsi="Simplified Arabic" w:cs="Simplified Arabic"/>
          <w:color w:val="000000"/>
          <w:sz w:val="24"/>
          <w:szCs w:val="24"/>
          <w:rtl/>
          <w:lang w:bidi="ar-AE"/>
        </w:rPr>
      </w:pPr>
    </w:p>
    <w:p w:rsidR="00D36A52" w:rsidRPr="001E239A" w:rsidRDefault="00D36A52" w:rsidP="00D36A52">
      <w:pPr>
        <w:bidi/>
        <w:spacing w:line="240" w:lineRule="auto"/>
        <w:ind w:left="-426" w:firstLine="568"/>
        <w:contextualSpacing/>
        <w:jc w:val="both"/>
        <w:rPr>
          <w:rFonts w:ascii="Simplified Arabic" w:hAnsi="Simplified Arabic" w:cs="Simplified Arabic"/>
          <w:color w:val="000000"/>
          <w:sz w:val="24"/>
          <w:szCs w:val="24"/>
          <w:rtl/>
          <w:lang w:bidi="ar-AE"/>
        </w:rPr>
      </w:pPr>
    </w:p>
    <w:p w:rsidR="00D36A52" w:rsidRPr="00196530" w:rsidRDefault="00D36A52" w:rsidP="00D36A52">
      <w:pPr>
        <w:spacing w:before="100" w:beforeAutospacing="1" w:line="240" w:lineRule="auto"/>
        <w:ind w:left="-426" w:firstLine="568"/>
        <w:contextualSpacing/>
        <w:jc w:val="center"/>
        <w:rPr>
          <w:rFonts w:asciiTheme="majorBidi" w:hAnsiTheme="majorBidi" w:cstheme="majorBidi"/>
          <w:b/>
          <w:bCs/>
        </w:rPr>
      </w:pPr>
      <w:r w:rsidRPr="00196530">
        <w:rPr>
          <w:rFonts w:asciiTheme="majorBidi" w:hAnsiTheme="majorBidi" w:cstheme="majorBidi"/>
          <w:b/>
          <w:bCs/>
          <w:lang w:bidi="ar-JO"/>
        </w:rPr>
        <w:lastRenderedPageBreak/>
        <w:t>Predicting Ability for Emotional Self-Efficacy in Subjective Well-Being: A Study of Undergraduate and Graduate Students of Al Falah University</w:t>
      </w:r>
    </w:p>
    <w:tbl>
      <w:tblPr>
        <w:bidiVisual/>
        <w:tblW w:w="0" w:type="auto"/>
        <w:tblInd w:w="2557" w:type="dxa"/>
        <w:tblLook w:val="04A0" w:firstRow="1" w:lastRow="0" w:firstColumn="1" w:lastColumn="0" w:noHBand="0" w:noVBand="1"/>
      </w:tblPr>
      <w:tblGrid>
        <w:gridCol w:w="4261"/>
      </w:tblGrid>
      <w:tr w:rsidR="00D36A52" w:rsidRPr="00196530" w:rsidTr="000A1F52">
        <w:tc>
          <w:tcPr>
            <w:tcW w:w="4261" w:type="dxa"/>
            <w:vAlign w:val="center"/>
            <w:hideMark/>
          </w:tcPr>
          <w:p w:rsidR="00D36A52" w:rsidRDefault="00D36A52" w:rsidP="000A1F52">
            <w:pPr>
              <w:spacing w:line="240" w:lineRule="auto"/>
              <w:contextualSpacing/>
              <w:jc w:val="center"/>
              <w:rPr>
                <w:rFonts w:asciiTheme="majorBidi" w:eastAsia="Times New Roman" w:hAnsiTheme="majorBidi" w:cstheme="majorBidi" w:hint="cs"/>
                <w:color w:val="000000"/>
                <w:rtl/>
                <w:lang w:val="en-GB" w:eastAsia="en-GB"/>
              </w:rPr>
            </w:pPr>
          </w:p>
          <w:p w:rsidR="00D36A52" w:rsidRPr="00196530" w:rsidRDefault="00D36A52" w:rsidP="000A1F52">
            <w:pPr>
              <w:spacing w:line="240" w:lineRule="auto"/>
              <w:contextualSpacing/>
              <w:jc w:val="center"/>
              <w:rPr>
                <w:rFonts w:asciiTheme="majorBidi" w:eastAsia="Times New Roman" w:hAnsiTheme="majorBidi" w:cstheme="majorBidi"/>
                <w:color w:val="000000"/>
                <w:lang w:val="en-GB" w:eastAsia="en-GB"/>
              </w:rPr>
            </w:pPr>
          </w:p>
        </w:tc>
      </w:tr>
    </w:tbl>
    <w:p w:rsidR="00D36A52" w:rsidRPr="001E6A77" w:rsidRDefault="00D36A52" w:rsidP="00D36A52">
      <w:pPr>
        <w:spacing w:line="240" w:lineRule="auto"/>
        <w:contextualSpacing/>
        <w:jc w:val="center"/>
        <w:rPr>
          <w:rFonts w:asciiTheme="majorBidi" w:hAnsiTheme="majorBidi" w:cstheme="majorBidi"/>
          <w:b/>
          <w:bCs/>
          <w:color w:val="000000"/>
          <w:lang w:bidi="ar-BH"/>
        </w:rPr>
      </w:pPr>
      <w:r w:rsidRPr="001E6A77">
        <w:rPr>
          <w:rFonts w:asciiTheme="majorBidi" w:hAnsiTheme="majorBidi" w:cstheme="majorBidi"/>
          <w:b/>
          <w:bCs/>
          <w:color w:val="000000"/>
          <w:lang w:bidi="ar-BH"/>
        </w:rPr>
        <w:t>ABSTRACT</w:t>
      </w:r>
    </w:p>
    <w:p w:rsidR="00D36A52" w:rsidRPr="00196530" w:rsidRDefault="00D36A52" w:rsidP="00D36A52">
      <w:pPr>
        <w:pStyle w:val="BodyText"/>
        <w:ind w:firstLine="720"/>
        <w:contextualSpacing/>
        <w:jc w:val="both"/>
        <w:rPr>
          <w:rFonts w:asciiTheme="majorBidi" w:hAnsiTheme="majorBidi" w:cstheme="majorBidi"/>
          <w:sz w:val="22"/>
          <w:szCs w:val="22"/>
        </w:rPr>
      </w:pPr>
      <w:r w:rsidRPr="00196530">
        <w:rPr>
          <w:rFonts w:asciiTheme="majorBidi" w:hAnsiTheme="majorBidi" w:cstheme="majorBidi"/>
          <w:sz w:val="22"/>
          <w:szCs w:val="22"/>
        </w:rPr>
        <w:t xml:space="preserve">This study aims to investigate the ability of emotional self-efficacy in predicting subjective well-being among a sample of students at Al Falah University. To achieve the study goals researcher an emotional self-efficacy scale was employed which consisted of four subscales (using and managing your own emotions, identifying and understanding your own emotions, dealing with emotions in others, perceiving emotions through facial expressions and body language), and subjective well-being scale consisting of five subscales (financial well-being, physical well-being, social well-being, </w:t>
      </w:r>
      <w:proofErr w:type="spellStart"/>
      <w:r w:rsidRPr="00196530">
        <w:rPr>
          <w:rFonts w:asciiTheme="majorBidi" w:hAnsiTheme="majorBidi" w:cstheme="majorBidi"/>
          <w:sz w:val="22"/>
          <w:szCs w:val="22"/>
        </w:rPr>
        <w:t>eudaimonic</w:t>
      </w:r>
      <w:proofErr w:type="spellEnd"/>
      <w:r w:rsidRPr="00196530">
        <w:rPr>
          <w:rFonts w:asciiTheme="majorBidi" w:hAnsiTheme="majorBidi" w:cstheme="majorBidi"/>
          <w:sz w:val="22"/>
          <w:szCs w:val="22"/>
        </w:rPr>
        <w:t xml:space="preserve"> well-being, hedonic well-being), on (233) male and female undergraduate students &amp; (32) male and female graduate students (MBA) from Al Falah University.</w:t>
      </w:r>
    </w:p>
    <w:p w:rsidR="00D36A52" w:rsidRPr="00196530" w:rsidRDefault="00D36A52" w:rsidP="00D36A52">
      <w:pPr>
        <w:pStyle w:val="HTMLPreformatted"/>
        <w:shd w:val="clear" w:color="auto" w:fill="FFFFFF"/>
        <w:contextualSpacing/>
        <w:jc w:val="both"/>
        <w:rPr>
          <w:rFonts w:asciiTheme="majorBidi" w:hAnsiTheme="majorBidi" w:cstheme="majorBidi"/>
          <w:color w:val="212121"/>
          <w:sz w:val="22"/>
          <w:szCs w:val="22"/>
        </w:rPr>
      </w:pPr>
      <w:r w:rsidRPr="00196530">
        <w:rPr>
          <w:rFonts w:asciiTheme="majorBidi" w:hAnsiTheme="majorBidi" w:cstheme="majorBidi"/>
          <w:sz w:val="22"/>
          <w:szCs w:val="22"/>
        </w:rPr>
        <w:t xml:space="preserve">The arithmetic means, and standard divinations were calculated from the study sample’s responses on emotional self-efficacy scale, subjective well-being scale, and stepwise multiple regression analysis was used to estimate the prediction ability of the self-efficacy’s in subjective well-being, while independent sample T-Test was used to find out the differences between male and female in emotional self-efficacy and subjective well-being. Results revealed that the study samples have </w:t>
      </w:r>
      <w:r w:rsidRPr="00196530">
        <w:rPr>
          <w:rFonts w:asciiTheme="majorBidi" w:hAnsiTheme="majorBidi" w:cstheme="majorBidi"/>
          <w:sz w:val="22"/>
          <w:szCs w:val="22"/>
          <w:lang w:bidi="ar-AE"/>
        </w:rPr>
        <w:t xml:space="preserve">high level of </w:t>
      </w:r>
      <w:r w:rsidRPr="00196530">
        <w:rPr>
          <w:rFonts w:asciiTheme="majorBidi" w:hAnsiTheme="majorBidi" w:cstheme="majorBidi"/>
          <w:sz w:val="22"/>
          <w:szCs w:val="22"/>
        </w:rPr>
        <w:t>emotional self-efficacy and subjective well-being</w:t>
      </w:r>
      <w:r w:rsidRPr="00196530">
        <w:rPr>
          <w:rFonts w:asciiTheme="majorBidi" w:hAnsiTheme="majorBidi" w:cstheme="majorBidi"/>
          <w:sz w:val="22"/>
          <w:szCs w:val="22"/>
          <w:lang w:bidi="ar-AE"/>
        </w:rPr>
        <w:t>. Results of the study</w:t>
      </w:r>
      <w:r w:rsidRPr="00196530">
        <w:rPr>
          <w:rFonts w:asciiTheme="majorBidi" w:hAnsiTheme="majorBidi" w:cstheme="majorBidi"/>
          <w:sz w:val="22"/>
          <w:szCs w:val="22"/>
        </w:rPr>
        <w:t xml:space="preserve"> </w:t>
      </w:r>
      <w:r w:rsidRPr="00196530">
        <w:rPr>
          <w:rFonts w:asciiTheme="majorBidi" w:hAnsiTheme="majorBidi" w:cstheme="majorBidi"/>
          <w:sz w:val="22"/>
          <w:szCs w:val="22"/>
          <w:lang w:bidi="ar-AE"/>
        </w:rPr>
        <w:t xml:space="preserve">also noted that </w:t>
      </w:r>
      <w:r w:rsidRPr="00196530">
        <w:rPr>
          <w:rFonts w:asciiTheme="majorBidi" w:hAnsiTheme="majorBidi" w:cstheme="majorBidi"/>
          <w:sz w:val="22"/>
          <w:szCs w:val="22"/>
        </w:rPr>
        <w:t xml:space="preserve">an </w:t>
      </w:r>
      <w:r w:rsidRPr="00196530">
        <w:rPr>
          <w:rFonts w:asciiTheme="majorBidi" w:hAnsiTheme="majorBidi" w:cstheme="majorBidi"/>
          <w:color w:val="212121"/>
          <w:sz w:val="22"/>
          <w:szCs w:val="22"/>
          <w:lang w:val="en"/>
        </w:rPr>
        <w:t>increase</w:t>
      </w:r>
      <w:r w:rsidRPr="00196530">
        <w:rPr>
          <w:rFonts w:asciiTheme="majorBidi" w:hAnsiTheme="majorBidi" w:cstheme="majorBidi"/>
          <w:color w:val="212121"/>
          <w:sz w:val="22"/>
          <w:szCs w:val="22"/>
          <w:lang w:val="en"/>
        </w:rPr>
        <w:t xml:space="preserve"> of emotional self-efficacy</w:t>
      </w:r>
      <w:r w:rsidRPr="00196530">
        <w:rPr>
          <w:rFonts w:asciiTheme="majorBidi" w:hAnsiTheme="majorBidi" w:cstheme="majorBidi"/>
          <w:sz w:val="22"/>
          <w:szCs w:val="22"/>
        </w:rPr>
        <w:t xml:space="preserve"> subscales (using and managing your own emotions, identifying and understanding your own emotions</w:t>
      </w:r>
      <w:r w:rsidRPr="00196530">
        <w:rPr>
          <w:rFonts w:asciiTheme="majorBidi" w:hAnsiTheme="majorBidi" w:cstheme="majorBidi"/>
          <w:color w:val="212121"/>
          <w:sz w:val="22"/>
          <w:szCs w:val="22"/>
          <w:lang w:val="en"/>
        </w:rPr>
        <w:t xml:space="preserve">) increases </w:t>
      </w:r>
      <w:r w:rsidRPr="00196530">
        <w:rPr>
          <w:rFonts w:asciiTheme="majorBidi" w:hAnsiTheme="majorBidi" w:cstheme="majorBidi"/>
          <w:sz w:val="22"/>
          <w:szCs w:val="22"/>
        </w:rPr>
        <w:t>subjective well-being</w:t>
      </w:r>
    </w:p>
    <w:p w:rsidR="00D36A52" w:rsidRPr="00196530" w:rsidRDefault="00D36A52" w:rsidP="00D36A52">
      <w:pPr>
        <w:pStyle w:val="HTMLPreformatted"/>
        <w:shd w:val="clear" w:color="auto" w:fill="FFFFFF"/>
        <w:contextualSpacing/>
        <w:jc w:val="both"/>
        <w:rPr>
          <w:rFonts w:asciiTheme="majorBidi" w:hAnsiTheme="majorBidi" w:cstheme="majorBidi"/>
          <w:color w:val="212121"/>
          <w:sz w:val="22"/>
          <w:szCs w:val="22"/>
        </w:rPr>
      </w:pPr>
      <w:r w:rsidRPr="00196530">
        <w:rPr>
          <w:rFonts w:asciiTheme="majorBidi" w:hAnsiTheme="majorBidi" w:cstheme="majorBidi"/>
          <w:sz w:val="22"/>
          <w:szCs w:val="22"/>
        </w:rPr>
        <w:t xml:space="preserve"> Increase in emotional self-efficacy pointed out to an increase in subjective well-being. The study also found that there are no statistically significant differences at the level (0.05) or less between males and females on emotional self-efficacy and subjective well-being. Results also demonstrated significant differences between students from different disciplines (Business Administration, Mass Communication, Law, and MBA) in some emotional self-efficacy subscales in favor of students from (Business Administration and MBA), As for subjective well-being scale results showed that there are significant differences between students from different disciplines (Business Administration, Mass Communication, Law, &amp; MBA) on the </w:t>
      </w:r>
      <w:proofErr w:type="spellStart"/>
      <w:r w:rsidRPr="00196530">
        <w:rPr>
          <w:rFonts w:asciiTheme="majorBidi" w:hAnsiTheme="majorBidi" w:cstheme="majorBidi"/>
          <w:sz w:val="22"/>
          <w:szCs w:val="22"/>
        </w:rPr>
        <w:t>subscals</w:t>
      </w:r>
      <w:proofErr w:type="spellEnd"/>
      <w:r w:rsidRPr="00196530">
        <w:rPr>
          <w:rFonts w:asciiTheme="majorBidi" w:hAnsiTheme="majorBidi" w:cstheme="majorBidi"/>
          <w:sz w:val="22"/>
          <w:szCs w:val="22"/>
        </w:rPr>
        <w:t xml:space="preserve"> (physical well-being &amp; financial well-being) in favor of MBA students.  </w:t>
      </w:r>
      <w:r w:rsidRPr="00196530">
        <w:rPr>
          <w:rFonts w:asciiTheme="majorBidi" w:hAnsiTheme="majorBidi" w:cstheme="majorBidi"/>
          <w:color w:val="212121"/>
          <w:sz w:val="22"/>
          <w:szCs w:val="22"/>
          <w:lang w:val="en"/>
        </w:rPr>
        <w:t>And there are significant differences between students of different study levels on some subscales</w:t>
      </w:r>
      <w:r w:rsidRPr="00196530">
        <w:rPr>
          <w:rFonts w:asciiTheme="majorBidi" w:hAnsiTheme="majorBidi" w:cstheme="majorBidi"/>
          <w:sz w:val="22"/>
          <w:szCs w:val="22"/>
        </w:rPr>
        <w:t xml:space="preserve"> for the benefit of students from first year, </w:t>
      </w:r>
      <w:r>
        <w:rPr>
          <w:rFonts w:asciiTheme="majorBidi" w:hAnsiTheme="majorBidi" w:cstheme="majorBidi"/>
          <w:sz w:val="22"/>
          <w:szCs w:val="22"/>
        </w:rPr>
        <w:t>second</w:t>
      </w:r>
      <w:r w:rsidRPr="00196530">
        <w:rPr>
          <w:rFonts w:asciiTheme="majorBidi" w:hAnsiTheme="majorBidi" w:cstheme="majorBidi"/>
          <w:sz w:val="22"/>
          <w:szCs w:val="22"/>
        </w:rPr>
        <w:t xml:space="preserve"> year, fourth year, and MBA </w:t>
      </w:r>
    </w:p>
    <w:p w:rsidR="00D36A52" w:rsidRPr="00196530" w:rsidRDefault="00D36A52" w:rsidP="00D36A52">
      <w:pPr>
        <w:spacing w:before="100" w:beforeAutospacing="1" w:line="240" w:lineRule="auto"/>
        <w:ind w:left="-425"/>
        <w:contextualSpacing/>
        <w:jc w:val="both"/>
        <w:rPr>
          <w:rFonts w:asciiTheme="majorBidi" w:hAnsiTheme="majorBidi" w:cstheme="majorBidi"/>
          <w:color w:val="000000"/>
          <w:lang w:bidi="ar-JO"/>
        </w:rPr>
      </w:pPr>
      <w:r w:rsidRPr="0084632C">
        <w:rPr>
          <w:rFonts w:asciiTheme="majorBidi" w:hAnsiTheme="majorBidi" w:cstheme="majorBidi"/>
          <w:b/>
          <w:bCs/>
          <w:color w:val="000000"/>
          <w:lang w:bidi="ar-JO"/>
        </w:rPr>
        <w:t>Key Words</w:t>
      </w:r>
      <w:r w:rsidRPr="00196530">
        <w:rPr>
          <w:rFonts w:asciiTheme="majorBidi" w:hAnsiTheme="majorBidi" w:cstheme="majorBidi"/>
          <w:color w:val="000000"/>
          <w:lang w:bidi="ar-JO"/>
        </w:rPr>
        <w:t>:</w:t>
      </w:r>
      <w:r w:rsidRPr="00196530">
        <w:rPr>
          <w:rFonts w:asciiTheme="majorBidi" w:hAnsiTheme="majorBidi" w:cstheme="majorBidi"/>
          <w:color w:val="000000"/>
          <w:rtl/>
          <w:lang w:bidi="ar-JO"/>
        </w:rPr>
        <w:t xml:space="preserve"> </w:t>
      </w:r>
      <w:r w:rsidRPr="00196530">
        <w:rPr>
          <w:rFonts w:asciiTheme="majorBidi" w:hAnsiTheme="majorBidi" w:cstheme="majorBidi"/>
          <w:color w:val="000000"/>
          <w:lang w:bidi="ar-JO"/>
        </w:rPr>
        <w:t xml:space="preserve"> Emotional Self-Efficacy, Subjective Well-Being, </w:t>
      </w:r>
      <w:r w:rsidRPr="00196530">
        <w:rPr>
          <w:rFonts w:asciiTheme="majorBidi" w:hAnsiTheme="majorBidi" w:cstheme="majorBidi"/>
          <w:color w:val="000000"/>
          <w:lang w:bidi="ar-JO"/>
        </w:rPr>
        <w:t>Undergraduate</w:t>
      </w:r>
      <w:bookmarkStart w:id="0" w:name="_GoBack"/>
      <w:bookmarkEnd w:id="0"/>
      <w:r w:rsidRPr="00196530">
        <w:rPr>
          <w:rFonts w:asciiTheme="majorBidi" w:hAnsiTheme="majorBidi" w:cstheme="majorBidi"/>
          <w:color w:val="000000"/>
          <w:lang w:bidi="ar-JO"/>
        </w:rPr>
        <w:t xml:space="preserve"> Students, Emotional Intelligence. </w:t>
      </w:r>
    </w:p>
    <w:p w:rsidR="004D7C05" w:rsidRDefault="00D36A52"/>
    <w:sectPr w:rsidR="004D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altName w:val="Microsoft Sans Serif"/>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altName w:val="Microsoft Sans Serif"/>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0F"/>
    <w:rsid w:val="0016310F"/>
    <w:rsid w:val="005734CD"/>
    <w:rsid w:val="00D36A52"/>
    <w:rsid w:val="00E20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5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36A52"/>
    <w:rPr>
      <w:rFonts w:ascii="Times New Roman" w:eastAsia="Times New Roman" w:hAnsi="Times New Roman" w:cs="Traditional Arabic"/>
      <w:sz w:val="28"/>
      <w:szCs w:val="24"/>
      <w:lang w:bidi="ar-JO"/>
    </w:rPr>
  </w:style>
  <w:style w:type="paragraph" w:styleId="BodyText">
    <w:name w:val="Body Text"/>
    <w:basedOn w:val="Normal"/>
    <w:link w:val="BodyTextChar"/>
    <w:unhideWhenUsed/>
    <w:rsid w:val="00D36A52"/>
    <w:pPr>
      <w:spacing w:after="0" w:line="240" w:lineRule="auto"/>
    </w:pPr>
    <w:rPr>
      <w:rFonts w:ascii="Times New Roman" w:eastAsia="Times New Roman" w:hAnsi="Times New Roman" w:cs="Traditional Arabic"/>
      <w:sz w:val="28"/>
      <w:szCs w:val="24"/>
      <w:lang w:bidi="ar-JO"/>
    </w:rPr>
  </w:style>
  <w:style w:type="character" w:customStyle="1" w:styleId="BodyTextChar1">
    <w:name w:val="Body Text Char1"/>
    <w:basedOn w:val="DefaultParagraphFont"/>
    <w:uiPriority w:val="99"/>
    <w:semiHidden/>
    <w:rsid w:val="00D36A52"/>
    <w:rPr>
      <w:rFonts w:ascii="Calibri" w:eastAsia="Calibri" w:hAnsi="Calibri" w:cs="Calibri"/>
    </w:rPr>
  </w:style>
  <w:style w:type="paragraph" w:styleId="HTMLPreformatted">
    <w:name w:val="HTML Preformatted"/>
    <w:basedOn w:val="Normal"/>
    <w:link w:val="HTMLPreformattedChar"/>
    <w:uiPriority w:val="99"/>
    <w:unhideWhenUsed/>
    <w:rsid w:val="00D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6A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5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36A52"/>
    <w:rPr>
      <w:rFonts w:ascii="Times New Roman" w:eastAsia="Times New Roman" w:hAnsi="Times New Roman" w:cs="Traditional Arabic"/>
      <w:sz w:val="28"/>
      <w:szCs w:val="24"/>
      <w:lang w:bidi="ar-JO"/>
    </w:rPr>
  </w:style>
  <w:style w:type="paragraph" w:styleId="BodyText">
    <w:name w:val="Body Text"/>
    <w:basedOn w:val="Normal"/>
    <w:link w:val="BodyTextChar"/>
    <w:unhideWhenUsed/>
    <w:rsid w:val="00D36A52"/>
    <w:pPr>
      <w:spacing w:after="0" w:line="240" w:lineRule="auto"/>
    </w:pPr>
    <w:rPr>
      <w:rFonts w:ascii="Times New Roman" w:eastAsia="Times New Roman" w:hAnsi="Times New Roman" w:cs="Traditional Arabic"/>
      <w:sz w:val="28"/>
      <w:szCs w:val="24"/>
      <w:lang w:bidi="ar-JO"/>
    </w:rPr>
  </w:style>
  <w:style w:type="character" w:customStyle="1" w:styleId="BodyTextChar1">
    <w:name w:val="Body Text Char1"/>
    <w:basedOn w:val="DefaultParagraphFont"/>
    <w:uiPriority w:val="99"/>
    <w:semiHidden/>
    <w:rsid w:val="00D36A52"/>
    <w:rPr>
      <w:rFonts w:ascii="Calibri" w:eastAsia="Calibri" w:hAnsi="Calibri" w:cs="Calibri"/>
    </w:rPr>
  </w:style>
  <w:style w:type="paragraph" w:styleId="HTMLPreformatted">
    <w:name w:val="HTML Preformatted"/>
    <w:basedOn w:val="Normal"/>
    <w:link w:val="HTMLPreformattedChar"/>
    <w:uiPriority w:val="99"/>
    <w:unhideWhenUsed/>
    <w:rsid w:val="00D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6A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Adnan</dc:creator>
  <cp:keywords/>
  <dc:description/>
  <cp:lastModifiedBy>Samer Adnan</cp:lastModifiedBy>
  <cp:revision>2</cp:revision>
  <dcterms:created xsi:type="dcterms:W3CDTF">2020-02-17T09:47:00Z</dcterms:created>
  <dcterms:modified xsi:type="dcterms:W3CDTF">2020-02-17T09:48:00Z</dcterms:modified>
</cp:coreProperties>
</file>